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01F" w:rsidRPr="0014701F" w:rsidRDefault="0014701F" w:rsidP="0014701F">
      <w:pPr>
        <w:spacing w:after="0" w:line="360" w:lineRule="auto"/>
        <w:jc w:val="right"/>
        <w:rPr>
          <w:rFonts w:ascii="Century Gothic" w:eastAsia="Times New Roman" w:hAnsi="Century Gothic" w:cs="Times New Roman"/>
          <w:b/>
          <w:lang w:eastAsia="it-IT"/>
        </w:rPr>
      </w:pPr>
      <w:proofErr w:type="spellStart"/>
      <w:r w:rsidRPr="0014701F">
        <w:rPr>
          <w:rFonts w:ascii="Century Gothic" w:eastAsia="Times New Roman" w:hAnsi="Century Gothic" w:cs="Times New Roman"/>
          <w:b/>
          <w:lang w:eastAsia="it-IT"/>
        </w:rPr>
        <w:t>All</w:t>
      </w:r>
      <w:proofErr w:type="spellEnd"/>
      <w:r w:rsidRPr="0014701F">
        <w:rPr>
          <w:rFonts w:ascii="Century Gothic" w:eastAsia="Times New Roman" w:hAnsi="Century Gothic" w:cs="Times New Roman"/>
          <w:b/>
          <w:lang w:eastAsia="it-IT"/>
        </w:rPr>
        <w:t>. 1</w:t>
      </w:r>
    </w:p>
    <w:p w:rsidR="0014701F" w:rsidRPr="0014701F" w:rsidRDefault="0014701F" w:rsidP="0014701F">
      <w:pPr>
        <w:spacing w:after="0" w:line="360" w:lineRule="auto"/>
        <w:rPr>
          <w:rFonts w:ascii="Century Gothic" w:eastAsia="Times New Roman" w:hAnsi="Century Gothic" w:cs="Times New Roman"/>
          <w:b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>Allegato al provvedimento di nomina del custode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IL SOTTOSCRITTO ………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…….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.……… CUSTODE DEL COMPENDIO PIGNORATO NELLA PROCEDURA 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N….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>……ATTESTA, SOTTO LA PROPRIA RESPONSABILITA’, QUANTO SEGUE: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 xml:space="preserve">1. TIPOLOGIA ESECUZIONE 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b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35" name="Immagin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b/>
          <w:lang w:eastAsia="it-IT"/>
        </w:rPr>
        <w:t xml:space="preserve"> 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contro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 uno o più  debitori proprietari esclusivi del bene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34" name="Immagin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contro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 uno o più debitori per la quota in comproprietà con soggetti non debitori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b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33" name="Immagin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contro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 il terzo proprietario  (specificare se terzo datore di ipoteca, acquirente di bene ipotecato o altro)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 xml:space="preserve">2. IDENTIFICATIVI CATASTALI DELLE UNITA’ IMMOBILIARI RISULTANTI DAL PIGNORAMENTO E DALLA NOTA DI TRASCRIZIONE: 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203835</wp:posOffset>
                </wp:positionH>
                <wp:positionV relativeFrom="paragraph">
                  <wp:posOffset>252095</wp:posOffset>
                </wp:positionV>
                <wp:extent cx="209550" cy="186055"/>
                <wp:effectExtent l="13335" t="13970" r="5715" b="9525"/>
                <wp:wrapNone/>
                <wp:docPr id="32" name="Rettangol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86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6132C" id="Rettangolo 32" o:spid="_x0000_s1026" style="position:absolute;margin-left:16.05pt;margin-top:19.85pt;width:16.5pt;height:1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"/>
            </w:pict>
          </mc:Fallback>
        </mc:AlternateContent>
      </w:r>
      <w:r w:rsidRPr="0014701F">
        <w:rPr>
          <w:rFonts w:ascii="Century Gothic" w:eastAsia="Times New Roman" w:hAnsi="Century Gothic" w:cs="Times New Roman"/>
          <w:lang w:eastAsia="it-IT"/>
        </w:rPr>
        <w:t>IL PIGNORAMENTO E LA NOTA SONO CONFORMI TRA LORO?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In caso di risposta negativa specificare le problematiche riscontrate.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>3. RICOSTRUZIONE DELLA PROPRIETA’ AL VENTENNIO</w:t>
      </w:r>
      <w:r w:rsidRPr="0014701F">
        <w:rPr>
          <w:rFonts w:ascii="Century Gothic" w:eastAsia="Times New Roman" w:hAnsi="Century Gothic" w:cs="Times New Roman"/>
          <w:lang w:eastAsia="it-IT"/>
        </w:rPr>
        <w:t xml:space="preserve"> DEL COMPENDIO PIGNORATO AVVALENDOSI DELLE RISULTANZE DELLA PERIZIA DI STIMA, DELLA RELAZIONE NOTARILE OVVERO DELLA DOCUMENTAZIONE IPOCATASTALE IN ATTI, SPECIFICANDO: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a) Nominativo dei proprietari e periodo temporale in cui gli stessi hanno rivestito tale qualità (ad es. il debitore è proprietario sin dal………; il dante causa del debitore: …………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…….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.proprietario sin dal….. etc.) 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b) Tipologia del titolo di acquisto per ognuno dei proprietari del 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ventennio,  ed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 in particolar modo per il debitore (compravendita, accettazione di eredità, donazione, altro)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c) Data di trascrizione di ognuno del predetti titoli di acquisto 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SUSSISTE LA CONTINUITA’ DELLE TRASCRIZIONI NEL VENTENNIO SENZA ALCUNA INTERRUZIONE?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30" name="Immagin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9" name="Immagin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Il titolo di acquisto in capo al debitore deve sempre essere acquisito dal ESPERTO (o direttamente dal Custode) anche ove antecedente il ventennio;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In caso di risposta negativa specificare le problematiche riscontrate.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 xml:space="preserve">4. REGIME PATRIMONIALE DELLA FAMIGLIA DEL DEBITORE: 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Se coniugato (o se abbia optato per la comunione legale ai sensi della legge 76/2016) specificare il relativo regime patrimoniale e l’incidenza sulla correttezza del pignoramento e della relativa trascrizione: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Nel caso in cui uno solo dei coniugi sia debitore l’atto di pignoramento è stato eseguito per la quota di 1/1 in regime di comunione?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7" name="Immagin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E’ stato notificato anche al coniuge in comunione?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5" name="Immagin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Nella nota di trascrizione nel quadro C “Soggetti contro” è indicato il debitore </w:t>
      </w:r>
      <w:r w:rsidRPr="0014701F">
        <w:rPr>
          <w:rFonts w:ascii="Century Gothic" w:eastAsia="Times New Roman" w:hAnsi="Century Gothic" w:cs="Times New Roman"/>
          <w:i/>
          <w:lang w:eastAsia="it-IT"/>
        </w:rPr>
        <w:t>Tizio</w:t>
      </w:r>
      <w:r w:rsidRPr="0014701F">
        <w:rPr>
          <w:rFonts w:ascii="Century Gothic" w:eastAsia="Times New Roman" w:hAnsi="Century Gothic" w:cs="Times New Roman"/>
          <w:lang w:eastAsia="it-IT"/>
        </w:rPr>
        <w:t xml:space="preserve"> per la quota di 1/1 in regime di comunione legale?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Nel quadro D a parti libere è stata indicata </w:t>
      </w:r>
      <w:proofErr w:type="spellStart"/>
      <w:r w:rsidRPr="0014701F">
        <w:rPr>
          <w:rFonts w:ascii="Century Gothic" w:eastAsia="Times New Roman" w:hAnsi="Century Gothic" w:cs="Times New Roman"/>
          <w:i/>
          <w:lang w:eastAsia="it-IT"/>
        </w:rPr>
        <w:t>Mevia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 xml:space="preserve"> come coniuge in comunione?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1" name="Immagin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La documentazione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ipocatastale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 xml:space="preserve"> ha riguardato l’intero bene e quindi anche il coniuge in comunione?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 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L’avviso 498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c.p.c.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 xml:space="preserve"> è stato notificato anche ai creditori del coniuge in comunione?  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In caso di risposta negativa a qualcuno dei quesiti specificare le problematiche riscontrate.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lastRenderedPageBreak/>
        <w:t xml:space="preserve">In caso di debitore in comunione dei 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beni  il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 custode dovrà notificare il decreto ex art. 569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c.p.c.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>, l’ordinanza di vendita e i successivi atti esecutivi anche al coniuge non esecutato.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>5. ATTESTAZIONE DELLE TRASCRZIONI E ISCRIZIONI GRAVANTI SUL BENE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 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Con particolare attenzione alla presenza di sequestri penali, di domande giudiziali e di contrati preliminari di compravendita; tale controllo dovrà svolgersi avvalendosi della perizia di stima, della relazione notarile ovvero della documentazione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ipocatastale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 xml:space="preserve"> in atti; dovrà altresì essere acquista a cura del Custode o dell’Esperto tutta la documentazione relativa alla causa al fine di determinarne l’attuale pendenza, l’eventuale esito e l’incidenza sulla procedura esecutiva.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>6. SUSSISTENZA DI CONTRATTI E DIRITTI DI TERZI SULL’IMMOBILE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Esistono contratti di locazione?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 In caso di risposta affermativa, hanno data certa anteriore al pignoramento?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Se eccedenti il novennio, sono trascritti?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Esistono provvedimenti di assegnazione della casa coniugale trascritti prima del pignoramento ma successivamente all’ipoteca?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Esistono diritti reali di godimento su cosa altrui (usufrutto, uso, abitazione) trascritti prima del pignoramento ma successivamente all’ipoteca?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lastRenderedPageBreak/>
        <w:t xml:space="preserve">In tutti questi casi è necessario reperire l’atto costitutivo del diritto ad opera del Custode o dell’Esperto (contratto di locazione, provvedimento giudiziario contenente l’assegnazione della casa coniugale,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etc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>…)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 xml:space="preserve">7. STATO DI OCCUPAZIONE DELL’IMMOBILE </w:t>
      </w:r>
      <w:r w:rsidRPr="0014701F">
        <w:rPr>
          <w:rFonts w:ascii="Century Gothic" w:eastAsia="Times New Roman" w:hAnsi="Century Gothic" w:cs="Times New Roman"/>
          <w:lang w:eastAsia="it-IT"/>
        </w:rPr>
        <w:t>alla luce degli accertamenti esperiti durante i sopralluoghi dal Custode e dall’Esperto e della certificazione anagrafica.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L’immobile è </w:t>
      </w:r>
      <w:r w:rsidRPr="0014701F">
        <w:rPr>
          <w:rFonts w:ascii="Century Gothic" w:eastAsia="Times New Roman" w:hAnsi="Century Gothic" w:cs="Times New Roman"/>
          <w:b/>
          <w:u w:val="single"/>
          <w:lang w:eastAsia="it-IT"/>
        </w:rPr>
        <w:t>abitato stabilmente</w:t>
      </w:r>
      <w:r w:rsidRPr="0014701F">
        <w:rPr>
          <w:rFonts w:ascii="Century Gothic" w:eastAsia="Times New Roman" w:hAnsi="Century Gothic" w:cs="Times New Roman"/>
          <w:lang w:eastAsia="it-IT"/>
        </w:rPr>
        <w:t xml:space="preserve"> dall’esecutato, che risulti altresì ivi residente alla data di notifica dell’atto di pignoramento?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In caso di risposta negativa specificare il soggetto o i soggetti rinvenuti all’interno dell’immobile (ad esempio familiari diversi dall’esecutato non conviventi, terzi titolari di diritti di godimento, terzi privi di titolo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etc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>…).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>8. SUSSISTENZA O MENO DI INTERVENTI SENZA TITOLO;</w:t>
      </w:r>
      <w:r w:rsidRPr="0014701F">
        <w:rPr>
          <w:rFonts w:ascii="Century Gothic" w:eastAsia="Times New Roman" w:hAnsi="Century Gothic" w:cs="Times New Roman"/>
          <w:lang w:eastAsia="it-IT"/>
        </w:rPr>
        <w:t xml:space="preserve"> in caso positivo indicazione delle ragioni dell’intervento e cioè se compiuto: a) in forza di sequestro conservativo trascritto prima del pignoramento; b) in forza di privilegio trascritto nei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rr.ii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 xml:space="preserve"> prima del pignoramento; c) in forza delle scritture contabili ex art. 2214 c.c. – indicazione della eventuale ravvisata inidoneità degli elementi posti alla base dell’intervento non titolato come tale da sottoporre all’attenzione del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g.e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>. (ad es. perché  compiuto in forza di scritture fiscali, estratto conto ex art. 50 TUB, contabilità semplificata).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>9. AVVISO AI CREDITORI E AI COMPROPRIETARI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L’avviso 498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c.p.c.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 xml:space="preserve"> è stato notificato a tutti i soggetti che hanno un diritto di prelazione o che hanno eseguito un sequestro conservativo su beni oggetto di pignoramento, risultante da pubblici registri?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 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(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in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 caso di risposta negativa sollecitare il creditore procedente e specificare i soggetti mancanti…)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lastRenderedPageBreak/>
        <w:t xml:space="preserve">L’avviso 599 </w:t>
      </w:r>
      <w:proofErr w:type="spellStart"/>
      <w:r w:rsidRPr="0014701F">
        <w:rPr>
          <w:rFonts w:ascii="Century Gothic" w:eastAsia="Times New Roman" w:hAnsi="Century Gothic" w:cs="Times New Roman"/>
          <w:lang w:eastAsia="it-IT"/>
        </w:rPr>
        <w:t>c.p.c.</w:t>
      </w:r>
      <w:proofErr w:type="spellEnd"/>
      <w:r w:rsidRPr="0014701F">
        <w:rPr>
          <w:rFonts w:ascii="Century Gothic" w:eastAsia="Times New Roman" w:hAnsi="Century Gothic" w:cs="Times New Roman"/>
          <w:lang w:eastAsia="it-IT"/>
        </w:rPr>
        <w:t xml:space="preserve"> è stato notificato ai comproprietari del bene?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 xml:space="preserve">Sì   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701F">
        <w:rPr>
          <w:rFonts w:ascii="Century Gothic" w:eastAsia="Times New Roman" w:hAnsi="Century Gothic" w:cs="Times New Roman"/>
          <w:lang w:eastAsia="it-IT"/>
        </w:rPr>
        <w:t xml:space="preserve">                        NO </w:t>
      </w:r>
      <w:r w:rsidRPr="0014701F">
        <w:rPr>
          <w:rFonts w:ascii="Century Gothic" w:eastAsia="Times New Roman" w:hAnsi="Century Gothic" w:cs="Times New Roman"/>
          <w:noProof/>
          <w:lang w:eastAsia="it-IT"/>
        </w:rPr>
        <w:drawing>
          <wp:inline distT="0" distB="0" distL="0" distR="0">
            <wp:extent cx="238125" cy="21907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(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in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 caso di risposta negativa sollecitare il creditore procedente e specificare i soggetti mancanti…)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Ai fini del reperimento di tutti i dati necessari a rispondere al questionario il custode è autorizzato in via preventiva a richiedere all’esperto le necessarie integrazioni peritali.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b/>
          <w:lang w:eastAsia="it-IT"/>
        </w:rPr>
        <w:t xml:space="preserve">10. DESCRIZIONE DELL’IMMOBILE: </w:t>
      </w:r>
      <w:r w:rsidRPr="0014701F">
        <w:rPr>
          <w:rFonts w:ascii="Century Gothic" w:eastAsia="Times New Roman" w:hAnsi="Century Gothic" w:cs="Times New Roman"/>
          <w:lang w:eastAsia="it-IT"/>
        </w:rPr>
        <w:t xml:space="preserve">indicazione del diritto (es. piena proprietà, nuda proprietà, usufrutto…), tipologia di immobile (appartamento, negozio, villa…) indirizzo, composizione del bene (cucina, </w:t>
      </w:r>
      <w:proofErr w:type="gramStart"/>
      <w:r w:rsidRPr="0014701F">
        <w:rPr>
          <w:rFonts w:ascii="Century Gothic" w:eastAsia="Times New Roman" w:hAnsi="Century Gothic" w:cs="Times New Roman"/>
          <w:lang w:eastAsia="it-IT"/>
        </w:rPr>
        <w:t>camere,..</w:t>
      </w:r>
      <w:proofErr w:type="gramEnd"/>
      <w:r w:rsidRPr="0014701F">
        <w:rPr>
          <w:rFonts w:ascii="Century Gothic" w:eastAsia="Times New Roman" w:hAnsi="Century Gothic" w:cs="Times New Roman"/>
          <w:lang w:eastAsia="it-IT"/>
        </w:rPr>
        <w:t xml:space="preserve">) superficie, esistenza o meno di difformità (senza indicazione analitica delle stesse) e relativi costi, esistenza di condominio e spese insolute, stato di occupazione (soprattutto se vi sono contratti opponibili, indicarne la scadenza ed il canone), dati catastali, prezzo di stima. 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u w:val="single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u w:val="single"/>
          <w:lang w:eastAsia="it-IT"/>
        </w:rPr>
      </w:pPr>
      <w:r w:rsidRPr="0014701F">
        <w:rPr>
          <w:rFonts w:ascii="Century Gothic" w:eastAsia="Times New Roman" w:hAnsi="Century Gothic" w:cs="Times New Roman"/>
          <w:u w:val="single"/>
          <w:lang w:eastAsia="it-IT"/>
        </w:rPr>
        <w:t>(La descrizione dell’immobile è finalizzata all’emissione dell’ordinanza di delega e vendita, pertanto deve essere priva delle generalità e dei dati identificativi del debitore o di soggetti terzi diversi dagli ausiliari del Giudice).</w:t>
      </w:r>
    </w:p>
    <w:p w:rsidR="0014701F" w:rsidRPr="0014701F" w:rsidRDefault="0014701F" w:rsidP="0014701F">
      <w:pPr>
        <w:spacing w:after="0" w:line="36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spacing w:after="0" w:line="360" w:lineRule="auto"/>
        <w:jc w:val="right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>Il custode giudiziario</w:t>
      </w: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  <w:r w:rsidRPr="0014701F">
        <w:rPr>
          <w:rFonts w:ascii="Century Gothic" w:eastAsia="Times New Roman" w:hAnsi="Century Gothic" w:cs="Times New Roman"/>
          <w:lang w:eastAsia="it-IT"/>
        </w:rPr>
        <w:tab/>
      </w:r>
      <w:r w:rsidRPr="0014701F">
        <w:rPr>
          <w:rFonts w:ascii="Century Gothic" w:eastAsia="Times New Roman" w:hAnsi="Century Gothic" w:cs="Times New Roman"/>
          <w:lang w:eastAsia="it-IT"/>
        </w:rPr>
        <w:tab/>
      </w:r>
      <w:r w:rsidRPr="0014701F">
        <w:rPr>
          <w:rFonts w:ascii="Century Gothic" w:eastAsia="Times New Roman" w:hAnsi="Century Gothic" w:cs="Times New Roman"/>
          <w:lang w:eastAsia="it-IT"/>
        </w:rPr>
        <w:tab/>
      </w:r>
      <w:r w:rsidRPr="0014701F">
        <w:rPr>
          <w:rFonts w:ascii="Century Gothic" w:eastAsia="Times New Roman" w:hAnsi="Century Gothic" w:cs="Times New Roman"/>
          <w:lang w:eastAsia="it-IT"/>
        </w:rPr>
        <w:tab/>
      </w:r>
      <w:r w:rsidRPr="0014701F">
        <w:rPr>
          <w:rFonts w:ascii="Century Gothic" w:eastAsia="Times New Roman" w:hAnsi="Century Gothic" w:cs="Times New Roman"/>
          <w:lang w:eastAsia="it-IT"/>
        </w:rPr>
        <w:tab/>
      </w: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14701F" w:rsidRPr="0014701F" w:rsidRDefault="0014701F" w:rsidP="001470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lang w:eastAsia="it-IT"/>
        </w:rPr>
      </w:pPr>
    </w:p>
    <w:p w:rsidR="006124FE" w:rsidRDefault="006124FE">
      <w:bookmarkStart w:id="0" w:name="_GoBack"/>
      <w:bookmarkEnd w:id="0"/>
    </w:p>
    <w:sectPr w:rsidR="006124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01F"/>
    <w:rsid w:val="0014701F"/>
    <w:rsid w:val="00612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533DFB-30B0-4B35-A7E5-D556CFB8C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1085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Palmeri</dc:creator>
  <cp:keywords/>
  <dc:description/>
  <cp:lastModifiedBy>Ilaria Palmeri</cp:lastModifiedBy>
  <cp:revision>1</cp:revision>
  <dcterms:created xsi:type="dcterms:W3CDTF">2020-05-15T14:56:00Z</dcterms:created>
  <dcterms:modified xsi:type="dcterms:W3CDTF">2020-05-15T14:57:00Z</dcterms:modified>
</cp:coreProperties>
</file>